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BDC0BB" w14:textId="77777777" w:rsidR="00D75A33" w:rsidRPr="00D75A33" w:rsidRDefault="00D75A33" w:rsidP="00D75A33">
      <w:pPr>
        <w:pStyle w:val="Title"/>
        <w:jc w:val="center"/>
        <w:rPr>
          <w:rFonts w:ascii="Arial" w:hAnsi="Arial" w:cs="Arial"/>
        </w:rPr>
      </w:pPr>
      <w:r w:rsidRPr="00D75A33">
        <w:rPr>
          <w:rFonts w:ascii="Arial" w:hAnsi="Arial" w:cs="Arial"/>
        </w:rPr>
        <w:t>Level Up Your ADA Knowledge: Navigating Title 2’s New Rules!</w:t>
      </w:r>
    </w:p>
    <w:p w14:paraId="179734A6" w14:textId="5270F791" w:rsidR="002F7F2E" w:rsidRPr="00D75A33" w:rsidRDefault="00D75A33" w:rsidP="00D75A33">
      <w:pPr>
        <w:pStyle w:val="Heading1"/>
        <w:jc w:val="center"/>
        <w:rPr>
          <w:rFonts w:ascii="Arial" w:hAnsi="Arial" w:cs="Arial"/>
        </w:rPr>
      </w:pPr>
      <w:r w:rsidRPr="00D75A33">
        <w:rPr>
          <w:rFonts w:ascii="Arial" w:hAnsi="Arial" w:cs="Arial"/>
        </w:rPr>
        <w:t>VHEAP Lunch &amp; Learn – October 29, 2024</w:t>
      </w:r>
    </w:p>
    <w:p w14:paraId="0EAF5B40" w14:textId="77777777" w:rsidR="00D75A33" w:rsidRDefault="00D75A33" w:rsidP="00D75A33"/>
    <w:p w14:paraId="24B63F43" w14:textId="44B7E678" w:rsidR="00D75A33" w:rsidRPr="00700879" w:rsidRDefault="00D75A33" w:rsidP="00D75A33">
      <w:pPr>
        <w:rPr>
          <w:rFonts w:ascii="Arial" w:hAnsi="Arial" w:cs="Arial"/>
        </w:rPr>
      </w:pPr>
      <w:r w:rsidRPr="00700879">
        <w:rPr>
          <w:rFonts w:ascii="Arial" w:hAnsi="Arial" w:cs="Arial"/>
        </w:rPr>
        <w:t>Zoom AI Meeting Summary (with corrections)</w:t>
      </w:r>
    </w:p>
    <w:p w14:paraId="5E50F1C7" w14:textId="77777777" w:rsidR="00D75A33" w:rsidRPr="00700879" w:rsidRDefault="00D75A33" w:rsidP="00D75A33">
      <w:pPr>
        <w:rPr>
          <w:rFonts w:ascii="Arial" w:hAnsi="Arial" w:cs="Arial"/>
        </w:rPr>
      </w:pPr>
    </w:p>
    <w:tbl>
      <w:tblPr>
        <w:tblW w:w="9540" w:type="dxa"/>
        <w:tblCellSpacing w:w="0" w:type="dxa"/>
        <w:tblCellMar>
          <w:left w:w="0" w:type="dxa"/>
          <w:right w:w="0" w:type="dxa"/>
        </w:tblCellMar>
        <w:tblLook w:val="04A0" w:firstRow="1" w:lastRow="0" w:firstColumn="1" w:lastColumn="0" w:noHBand="0" w:noVBand="1"/>
      </w:tblPr>
      <w:tblGrid>
        <w:gridCol w:w="9540"/>
      </w:tblGrid>
      <w:tr w:rsidR="00D75A33" w:rsidRPr="00D75A33" w14:paraId="3CB1F41D" w14:textId="77777777" w:rsidTr="00D75A33">
        <w:trPr>
          <w:tblCellSpacing w:w="0" w:type="dxa"/>
        </w:trPr>
        <w:tc>
          <w:tcPr>
            <w:tcW w:w="0" w:type="auto"/>
            <w:hideMark/>
          </w:tcPr>
          <w:p w14:paraId="66614571" w14:textId="77777777" w:rsidR="00D75A33" w:rsidRPr="00700879" w:rsidRDefault="00D75A33" w:rsidP="00D75A33">
            <w:pPr>
              <w:pStyle w:val="Heading2"/>
              <w:rPr>
                <w:rFonts w:ascii="Arial" w:hAnsi="Arial" w:cs="Arial"/>
              </w:rPr>
            </w:pPr>
            <w:r w:rsidRPr="00700879">
              <w:rPr>
                <w:rFonts w:ascii="Arial" w:hAnsi="Arial" w:cs="Arial"/>
              </w:rPr>
              <w:t>ADA Revisions and Digital Accessibility</w:t>
            </w:r>
          </w:p>
        </w:tc>
      </w:tr>
      <w:tr w:rsidR="00D75A33" w:rsidRPr="00D75A33" w14:paraId="14B6BAA0" w14:textId="77777777" w:rsidTr="00D75A33">
        <w:trPr>
          <w:tblCellSpacing w:w="0" w:type="dxa"/>
        </w:trPr>
        <w:tc>
          <w:tcPr>
            <w:tcW w:w="0" w:type="auto"/>
            <w:hideMark/>
          </w:tcPr>
          <w:p w14:paraId="11EEE43D" w14:textId="77777777" w:rsidR="00D75A33" w:rsidRPr="00D75A33" w:rsidRDefault="00D75A33" w:rsidP="00D75A33">
            <w:pPr>
              <w:spacing w:line="276" w:lineRule="auto"/>
              <w:rPr>
                <w:rFonts w:ascii="Arial" w:hAnsi="Arial" w:cs="Arial"/>
              </w:rPr>
            </w:pPr>
            <w:r w:rsidRPr="00D75A33">
              <w:rPr>
                <w:rFonts w:ascii="Arial" w:hAnsi="Arial" w:cs="Arial"/>
              </w:rPr>
              <w:t>Mark discussed the Americans with Disabilities Act (ADA) and its impact on digital accessibility. He highlighted the key revisions to subpart H of the ADA, which was published in the Federal Register on April 24th, 2024. The revisions aim to ensure the accessibility of web content and mobile applications for people with disabilities. The ADA now aligns public entities, including K-12, public universities, and state agencies, to the Web Content Accessibility Guidelines (WCAG) 2.1 AA standards. The deadline for compliance is either April 24th, 2026, or April 26th, 2027, depending on the size of the public entity. Mark also discussed the exceptions to the ADA, including archived web content, conventional electronic documents, content posted by a third party, individualized documents that are password protected, and preexisting social media posts. He emphasized the importance of proactive accessibility and the need for institutions to ensure that their content meets the WCAG 2.1 AA standards.</w:t>
            </w:r>
          </w:p>
        </w:tc>
      </w:tr>
    </w:tbl>
    <w:p w14:paraId="6DD0FC4E" w14:textId="77777777" w:rsidR="00D75A33" w:rsidRPr="00700879" w:rsidRDefault="00D75A33" w:rsidP="00D75A33">
      <w:pPr>
        <w:rPr>
          <w:rFonts w:ascii="Arial" w:hAnsi="Arial" w:cs="Arial"/>
        </w:rPr>
      </w:pPr>
    </w:p>
    <w:tbl>
      <w:tblPr>
        <w:tblW w:w="9540" w:type="dxa"/>
        <w:tblCellSpacing w:w="0" w:type="dxa"/>
        <w:tblCellMar>
          <w:left w:w="0" w:type="dxa"/>
          <w:right w:w="0" w:type="dxa"/>
        </w:tblCellMar>
        <w:tblLook w:val="04A0" w:firstRow="1" w:lastRow="0" w:firstColumn="1" w:lastColumn="0" w:noHBand="0" w:noVBand="1"/>
      </w:tblPr>
      <w:tblGrid>
        <w:gridCol w:w="9540"/>
      </w:tblGrid>
      <w:tr w:rsidR="00D75A33" w:rsidRPr="00D75A33" w14:paraId="431AD994" w14:textId="77777777" w:rsidTr="00D75A33">
        <w:trPr>
          <w:tblCellSpacing w:w="0" w:type="dxa"/>
        </w:trPr>
        <w:tc>
          <w:tcPr>
            <w:tcW w:w="0" w:type="auto"/>
            <w:hideMark/>
          </w:tcPr>
          <w:p w14:paraId="7CE39D6A" w14:textId="77777777" w:rsidR="00D75A33" w:rsidRPr="00700879" w:rsidRDefault="00D75A33" w:rsidP="00D75A33">
            <w:pPr>
              <w:pStyle w:val="Heading2"/>
              <w:rPr>
                <w:rFonts w:ascii="Arial" w:hAnsi="Arial" w:cs="Arial"/>
              </w:rPr>
            </w:pPr>
            <w:r w:rsidRPr="00700879">
              <w:rPr>
                <w:rFonts w:ascii="Arial" w:hAnsi="Arial" w:cs="Arial"/>
              </w:rPr>
              <w:t>Developing Digital Accessibility Compliance Policy</w:t>
            </w:r>
          </w:p>
        </w:tc>
      </w:tr>
      <w:tr w:rsidR="00D75A33" w:rsidRPr="00D75A33" w14:paraId="1239C31B" w14:textId="77777777" w:rsidTr="00D75A33">
        <w:trPr>
          <w:tblCellSpacing w:w="0" w:type="dxa"/>
        </w:trPr>
        <w:tc>
          <w:tcPr>
            <w:tcW w:w="0" w:type="auto"/>
            <w:hideMark/>
          </w:tcPr>
          <w:p w14:paraId="7819D628" w14:textId="32EE7D58" w:rsidR="00D75A33" w:rsidRPr="00D75A33" w:rsidRDefault="00D75A33" w:rsidP="00D75A33">
            <w:pPr>
              <w:spacing w:line="276" w:lineRule="auto"/>
              <w:rPr>
                <w:rFonts w:ascii="Arial" w:hAnsi="Arial" w:cs="Arial"/>
              </w:rPr>
            </w:pPr>
            <w:r w:rsidRPr="00D75A33">
              <w:rPr>
                <w:rFonts w:ascii="Arial" w:hAnsi="Arial" w:cs="Arial"/>
              </w:rPr>
              <w:t xml:space="preserve">Mark discussed the importance of developing a policy to enforce digital accessibility compliance. He mentioned the need to update </w:t>
            </w:r>
            <w:r w:rsidRPr="00700879">
              <w:rPr>
                <w:rFonts w:ascii="Arial" w:hAnsi="Arial" w:cs="Arial"/>
              </w:rPr>
              <w:t>Virginia Tech’s</w:t>
            </w:r>
            <w:r w:rsidRPr="00D75A33">
              <w:rPr>
                <w:rFonts w:ascii="Arial" w:hAnsi="Arial" w:cs="Arial"/>
              </w:rPr>
              <w:t xml:space="preserve"> current IT accessibility policy to align with ADA Title II language and make it more </w:t>
            </w:r>
            <w:r w:rsidRPr="00700879">
              <w:rPr>
                <w:rFonts w:ascii="Arial" w:hAnsi="Arial" w:cs="Arial"/>
              </w:rPr>
              <w:t>reader friendly</w:t>
            </w:r>
            <w:r w:rsidRPr="00D75A33">
              <w:rPr>
                <w:rFonts w:ascii="Arial" w:hAnsi="Arial" w:cs="Arial"/>
              </w:rPr>
              <w:t>. He also emphasized the importance of identifying and leveraging accessibility champions and conducting a strategic plan or analysis, such as a SWOT analysis, to assess digital assets' compliance with new standards. He suggested considering new roles focused on digital accessibility and aligning the planning with the institution's mission and vision. Lastly, he highlighted the need to inventory existing resources and supports, as well as identify new resources needed for accessible design and remediation.</w:t>
            </w:r>
          </w:p>
        </w:tc>
      </w:tr>
    </w:tbl>
    <w:p w14:paraId="2D3EED8C" w14:textId="77777777" w:rsidR="00D75A33" w:rsidRPr="00700879" w:rsidRDefault="00D75A33" w:rsidP="00D75A33">
      <w:pPr>
        <w:rPr>
          <w:rFonts w:ascii="Arial" w:hAnsi="Arial" w:cs="Arial"/>
        </w:rPr>
      </w:pPr>
    </w:p>
    <w:tbl>
      <w:tblPr>
        <w:tblW w:w="9540" w:type="dxa"/>
        <w:tblCellSpacing w:w="0" w:type="dxa"/>
        <w:tblCellMar>
          <w:left w:w="0" w:type="dxa"/>
          <w:right w:w="0" w:type="dxa"/>
        </w:tblCellMar>
        <w:tblLook w:val="04A0" w:firstRow="1" w:lastRow="0" w:firstColumn="1" w:lastColumn="0" w:noHBand="0" w:noVBand="1"/>
      </w:tblPr>
      <w:tblGrid>
        <w:gridCol w:w="9540"/>
      </w:tblGrid>
      <w:tr w:rsidR="00D75A33" w:rsidRPr="00D75A33" w14:paraId="1D617DFD" w14:textId="77777777" w:rsidTr="00D75A33">
        <w:trPr>
          <w:tblCellSpacing w:w="0" w:type="dxa"/>
        </w:trPr>
        <w:tc>
          <w:tcPr>
            <w:tcW w:w="0" w:type="auto"/>
            <w:hideMark/>
          </w:tcPr>
          <w:p w14:paraId="59153365" w14:textId="77777777" w:rsidR="00D75A33" w:rsidRPr="00700879" w:rsidRDefault="00D75A33" w:rsidP="00D75A33">
            <w:pPr>
              <w:pStyle w:val="Heading2"/>
              <w:rPr>
                <w:rFonts w:ascii="Arial" w:hAnsi="Arial" w:cs="Arial"/>
              </w:rPr>
            </w:pPr>
            <w:r w:rsidRPr="00700879">
              <w:rPr>
                <w:rFonts w:ascii="Arial" w:hAnsi="Arial" w:cs="Arial"/>
              </w:rPr>
              <w:t>Digital Accessibility and Compliance Deadline</w:t>
            </w:r>
          </w:p>
        </w:tc>
      </w:tr>
      <w:tr w:rsidR="00D75A33" w:rsidRPr="00D75A33" w14:paraId="4F9D9EBF" w14:textId="77777777" w:rsidTr="00D75A33">
        <w:trPr>
          <w:tblCellSpacing w:w="0" w:type="dxa"/>
        </w:trPr>
        <w:tc>
          <w:tcPr>
            <w:tcW w:w="0" w:type="auto"/>
            <w:hideMark/>
          </w:tcPr>
          <w:p w14:paraId="402B13A6" w14:textId="77777777" w:rsidR="00D75A33" w:rsidRPr="00D75A33" w:rsidRDefault="00D75A33" w:rsidP="00D75A33">
            <w:pPr>
              <w:spacing w:line="276" w:lineRule="auto"/>
              <w:rPr>
                <w:rFonts w:ascii="Arial" w:hAnsi="Arial" w:cs="Arial"/>
              </w:rPr>
            </w:pPr>
            <w:r w:rsidRPr="00D75A33">
              <w:rPr>
                <w:rFonts w:ascii="Arial" w:hAnsi="Arial" w:cs="Arial"/>
              </w:rPr>
              <w:t xml:space="preserve">Mark discussed the importance of digital accessibility and compliance, particularly in relation to the upcoming deadline of April 24th, 2026. He emphasized the need for </w:t>
            </w:r>
            <w:r w:rsidRPr="00D75A33">
              <w:rPr>
                <w:rFonts w:ascii="Arial" w:hAnsi="Arial" w:cs="Arial"/>
              </w:rPr>
              <w:lastRenderedPageBreak/>
              <w:t>institutions to conduct an internal inventory of their web accessibility and compliance, develop role-based training materials, and adjust timelines accordingly. Mark also highlighted the importance of involving the disability community in planning and decision-making processes. He suggested that institutions should identify and prioritize existing content, commit to making new content accessible, and keep accessibility at the forefront of procurement conversations. Mark also recommended participating in training programs and becoming a model for digital accessibility within departments.</w:t>
            </w:r>
          </w:p>
        </w:tc>
      </w:tr>
    </w:tbl>
    <w:p w14:paraId="223B6F7D" w14:textId="77777777" w:rsidR="00D75A33" w:rsidRPr="00700879" w:rsidRDefault="00D75A33" w:rsidP="00D75A33">
      <w:pPr>
        <w:rPr>
          <w:rFonts w:ascii="Arial" w:hAnsi="Arial" w:cs="Arial"/>
        </w:rPr>
      </w:pPr>
    </w:p>
    <w:tbl>
      <w:tblPr>
        <w:tblW w:w="9540" w:type="dxa"/>
        <w:tblCellSpacing w:w="0" w:type="dxa"/>
        <w:tblCellMar>
          <w:left w:w="0" w:type="dxa"/>
          <w:right w:w="0" w:type="dxa"/>
        </w:tblCellMar>
        <w:tblLook w:val="04A0" w:firstRow="1" w:lastRow="0" w:firstColumn="1" w:lastColumn="0" w:noHBand="0" w:noVBand="1"/>
      </w:tblPr>
      <w:tblGrid>
        <w:gridCol w:w="9540"/>
      </w:tblGrid>
      <w:tr w:rsidR="00D75A33" w:rsidRPr="00D75A33" w14:paraId="0CC48436" w14:textId="77777777" w:rsidTr="00D75A33">
        <w:trPr>
          <w:tblCellSpacing w:w="0" w:type="dxa"/>
        </w:trPr>
        <w:tc>
          <w:tcPr>
            <w:tcW w:w="0" w:type="auto"/>
            <w:hideMark/>
          </w:tcPr>
          <w:p w14:paraId="7A2F89C0" w14:textId="77777777" w:rsidR="00D75A33" w:rsidRPr="00700879" w:rsidRDefault="00D75A33" w:rsidP="00D75A33">
            <w:pPr>
              <w:pStyle w:val="Heading2"/>
              <w:rPr>
                <w:rFonts w:ascii="Arial" w:hAnsi="Arial" w:cs="Arial"/>
              </w:rPr>
            </w:pPr>
            <w:r w:rsidRPr="00700879">
              <w:rPr>
                <w:rFonts w:ascii="Arial" w:hAnsi="Arial" w:cs="Arial"/>
              </w:rPr>
              <w:t>Virginia Tech's Title II Compliance Efforts</w:t>
            </w:r>
          </w:p>
        </w:tc>
      </w:tr>
      <w:tr w:rsidR="00D75A33" w:rsidRPr="00D75A33" w14:paraId="2209702A" w14:textId="77777777" w:rsidTr="00D75A33">
        <w:trPr>
          <w:tblCellSpacing w:w="0" w:type="dxa"/>
        </w:trPr>
        <w:tc>
          <w:tcPr>
            <w:tcW w:w="0" w:type="auto"/>
            <w:hideMark/>
          </w:tcPr>
          <w:p w14:paraId="6A10D006" w14:textId="014C31D9" w:rsidR="00D75A33" w:rsidRPr="00D75A33" w:rsidRDefault="00D75A33" w:rsidP="00D75A33">
            <w:pPr>
              <w:spacing w:line="276" w:lineRule="auto"/>
              <w:rPr>
                <w:rFonts w:ascii="Arial" w:hAnsi="Arial" w:cs="Arial"/>
              </w:rPr>
            </w:pPr>
            <w:r w:rsidRPr="00D75A33">
              <w:rPr>
                <w:rFonts w:ascii="Arial" w:hAnsi="Arial" w:cs="Arial"/>
              </w:rPr>
              <w:t xml:space="preserve">Mark discussed the efforts being made at Virginia Tech to address the Title II regulations. He highlighted the establishment of a Title II working group, led by the 508 compliance and digital accessibility officer, Dr. Scott Chandler, which includes members from various university departments. The group has set up six subcommittees to analyze the regulations, identify risks, and determine necessary resources for compliance by April 24th, 2026. Mark also mentioned the executive sponsorship from the Executive Vice President and Provost, and the Chief Operating Officer, which helps to facilitate communications across departments and encourage compliance. He emphasized that this is a team effort and will require time, effort, and fiscal resources. Mark also opened the floor for questions and </w:t>
            </w:r>
            <w:r w:rsidRPr="00700879">
              <w:rPr>
                <w:rFonts w:ascii="Arial" w:hAnsi="Arial" w:cs="Arial"/>
              </w:rPr>
              <w:t>comments and</w:t>
            </w:r>
            <w:r w:rsidRPr="00D75A33">
              <w:rPr>
                <w:rFonts w:ascii="Arial" w:hAnsi="Arial" w:cs="Arial"/>
              </w:rPr>
              <w:t xml:space="preserve"> encouraged the sharing of resources and strategies from other institutions.</w:t>
            </w:r>
          </w:p>
        </w:tc>
      </w:tr>
    </w:tbl>
    <w:p w14:paraId="1A633016" w14:textId="77777777" w:rsidR="00D75A33" w:rsidRPr="00700879" w:rsidRDefault="00D75A33" w:rsidP="00D75A33">
      <w:pPr>
        <w:rPr>
          <w:rFonts w:ascii="Arial" w:hAnsi="Arial" w:cs="Arial"/>
        </w:rPr>
      </w:pPr>
    </w:p>
    <w:tbl>
      <w:tblPr>
        <w:tblW w:w="9540" w:type="dxa"/>
        <w:tblCellSpacing w:w="0" w:type="dxa"/>
        <w:tblCellMar>
          <w:left w:w="0" w:type="dxa"/>
          <w:right w:w="0" w:type="dxa"/>
        </w:tblCellMar>
        <w:tblLook w:val="04A0" w:firstRow="1" w:lastRow="0" w:firstColumn="1" w:lastColumn="0" w:noHBand="0" w:noVBand="1"/>
      </w:tblPr>
      <w:tblGrid>
        <w:gridCol w:w="9540"/>
      </w:tblGrid>
      <w:tr w:rsidR="00D75A33" w:rsidRPr="00D75A33" w14:paraId="23F8F9C2" w14:textId="77777777" w:rsidTr="00D75A33">
        <w:trPr>
          <w:tblCellSpacing w:w="0" w:type="dxa"/>
        </w:trPr>
        <w:tc>
          <w:tcPr>
            <w:tcW w:w="0" w:type="auto"/>
            <w:hideMark/>
          </w:tcPr>
          <w:p w14:paraId="68085D87" w14:textId="77777777" w:rsidR="00D75A33" w:rsidRPr="00700879" w:rsidRDefault="00D75A33" w:rsidP="00D75A33">
            <w:pPr>
              <w:pStyle w:val="Heading2"/>
              <w:rPr>
                <w:rFonts w:ascii="Arial" w:hAnsi="Arial" w:cs="Arial"/>
              </w:rPr>
            </w:pPr>
            <w:r w:rsidRPr="00700879">
              <w:rPr>
                <w:rFonts w:ascii="Arial" w:hAnsi="Arial" w:cs="Arial"/>
              </w:rPr>
              <w:t>Digital Content Accessibility Action Plan</w:t>
            </w:r>
          </w:p>
        </w:tc>
      </w:tr>
      <w:tr w:rsidR="00D75A33" w:rsidRPr="00D75A33" w14:paraId="03FA7CA6" w14:textId="77777777" w:rsidTr="00D75A33">
        <w:trPr>
          <w:tblCellSpacing w:w="0" w:type="dxa"/>
        </w:trPr>
        <w:tc>
          <w:tcPr>
            <w:tcW w:w="0" w:type="auto"/>
            <w:hideMark/>
          </w:tcPr>
          <w:p w14:paraId="219248AB" w14:textId="7ECBCDFE" w:rsidR="00D75A33" w:rsidRPr="00D75A33" w:rsidRDefault="00D75A33" w:rsidP="00D75A33">
            <w:pPr>
              <w:spacing w:line="276" w:lineRule="auto"/>
              <w:rPr>
                <w:rFonts w:ascii="Arial" w:hAnsi="Arial" w:cs="Arial"/>
              </w:rPr>
            </w:pPr>
            <w:r w:rsidRPr="00D75A33">
              <w:rPr>
                <w:rFonts w:ascii="Arial" w:hAnsi="Arial" w:cs="Arial"/>
              </w:rPr>
              <w:t xml:space="preserve">Korey </w:t>
            </w:r>
            <w:r w:rsidRPr="00700879">
              <w:rPr>
                <w:rFonts w:ascii="Arial" w:hAnsi="Arial" w:cs="Arial"/>
              </w:rPr>
              <w:t xml:space="preserve">Singleton (GMU) </w:t>
            </w:r>
            <w:r w:rsidRPr="00D75A33">
              <w:rPr>
                <w:rFonts w:ascii="Arial" w:hAnsi="Arial" w:cs="Arial"/>
              </w:rPr>
              <w:t xml:space="preserve">discussed the early phases of </w:t>
            </w:r>
            <w:r w:rsidRPr="00700879">
              <w:rPr>
                <w:rFonts w:ascii="Arial" w:hAnsi="Arial" w:cs="Arial"/>
              </w:rPr>
              <w:t>their</w:t>
            </w:r>
            <w:r w:rsidRPr="00D75A33">
              <w:rPr>
                <w:rFonts w:ascii="Arial" w:hAnsi="Arial" w:cs="Arial"/>
              </w:rPr>
              <w:t xml:space="preserve"> digital content accessibility action plan, focusing on inventory and assessment of existing content. They are transitioning from Blackboard to Canvas and are using Drupal and WordPress for website management. They are also working on post-production captioning and transcription to reduce faculty responsibility. The goal is to automate some processes and make content creation more accessible. Mark agreed with this approach, emphasizing the need to reduce the load of making content accessible. Mollie </w:t>
            </w:r>
            <w:r w:rsidRPr="00700879">
              <w:rPr>
                <w:rFonts w:ascii="Arial" w:hAnsi="Arial" w:cs="Arial"/>
              </w:rPr>
              <w:t>Kropp (</w:t>
            </w:r>
            <w:r w:rsidRPr="00D75A33">
              <w:rPr>
                <w:rFonts w:ascii="Arial" w:hAnsi="Arial" w:cs="Arial"/>
              </w:rPr>
              <w:t>Fairfax County Public Schools</w:t>
            </w:r>
            <w:r w:rsidRPr="00700879">
              <w:rPr>
                <w:rFonts w:ascii="Arial" w:hAnsi="Arial" w:cs="Arial"/>
              </w:rPr>
              <w:t xml:space="preserve">) </w:t>
            </w:r>
            <w:r w:rsidRPr="00D75A33">
              <w:rPr>
                <w:rFonts w:ascii="Arial" w:hAnsi="Arial" w:cs="Arial"/>
              </w:rPr>
              <w:t>shared their efforts in web content accessibility and procurement processes, highlighting their biggest challenge as working with vendors.</w:t>
            </w:r>
          </w:p>
        </w:tc>
      </w:tr>
    </w:tbl>
    <w:p w14:paraId="05F20C93" w14:textId="77777777" w:rsidR="00D75A33" w:rsidRDefault="00D75A33" w:rsidP="00D75A33"/>
    <w:tbl>
      <w:tblPr>
        <w:tblW w:w="9540" w:type="dxa"/>
        <w:tblCellSpacing w:w="0" w:type="dxa"/>
        <w:tblCellMar>
          <w:left w:w="0" w:type="dxa"/>
          <w:right w:w="0" w:type="dxa"/>
        </w:tblCellMar>
        <w:tblLook w:val="04A0" w:firstRow="1" w:lastRow="0" w:firstColumn="1" w:lastColumn="0" w:noHBand="0" w:noVBand="1"/>
      </w:tblPr>
      <w:tblGrid>
        <w:gridCol w:w="9540"/>
      </w:tblGrid>
      <w:tr w:rsidR="00D75A33" w:rsidRPr="00D75A33" w14:paraId="35B0984D" w14:textId="77777777" w:rsidTr="00D75A33">
        <w:trPr>
          <w:tblCellSpacing w:w="0" w:type="dxa"/>
        </w:trPr>
        <w:tc>
          <w:tcPr>
            <w:tcW w:w="0" w:type="auto"/>
            <w:hideMark/>
          </w:tcPr>
          <w:p w14:paraId="4278F736" w14:textId="77777777" w:rsidR="00D75A33" w:rsidRPr="00D75A33" w:rsidRDefault="00D75A33" w:rsidP="00D75A33">
            <w:pPr>
              <w:pStyle w:val="Heading2"/>
            </w:pPr>
            <w:r w:rsidRPr="00D75A33">
              <w:t>Accessible Learning Materials Challenges</w:t>
            </w:r>
          </w:p>
        </w:tc>
      </w:tr>
      <w:tr w:rsidR="00D75A33" w:rsidRPr="00D75A33" w14:paraId="012C1127" w14:textId="77777777" w:rsidTr="00D75A33">
        <w:trPr>
          <w:tblCellSpacing w:w="0" w:type="dxa"/>
        </w:trPr>
        <w:tc>
          <w:tcPr>
            <w:tcW w:w="0" w:type="auto"/>
            <w:hideMark/>
          </w:tcPr>
          <w:p w14:paraId="52CF98F7" w14:textId="7EBE14AE" w:rsidR="00D75A33" w:rsidRPr="00D75A33" w:rsidRDefault="00D75A33" w:rsidP="00D75A33">
            <w:pPr>
              <w:spacing w:line="276" w:lineRule="auto"/>
              <w:rPr>
                <w:rFonts w:ascii="Arial" w:hAnsi="Arial" w:cs="Arial"/>
              </w:rPr>
            </w:pPr>
            <w:r w:rsidRPr="00D75A33">
              <w:rPr>
                <w:rFonts w:ascii="Arial" w:hAnsi="Arial" w:cs="Arial"/>
              </w:rPr>
              <w:t>Mollie and Mark discussed the challenges of increasing the capacity for teachers to create accessible learning materials in K-12 education. They identified the instructional content as the biggest challenge, particularly aligning it to the WCAG 2.1 standards. They also discussed the issue of inaccessible textbooks and the responsibility of making them accessible. Mollie highlighted the disconnect between senior leadership</w:t>
            </w:r>
            <w:r w:rsidR="009B670C">
              <w:rPr>
                <w:rFonts w:ascii="Arial" w:hAnsi="Arial" w:cs="Arial"/>
              </w:rPr>
              <w:t xml:space="preserve">’s awareness and </w:t>
            </w:r>
            <w:r w:rsidR="009B670C">
              <w:rPr>
                <w:rFonts w:ascii="Arial" w:hAnsi="Arial" w:cs="Arial"/>
              </w:rPr>
              <w:lastRenderedPageBreak/>
              <w:t>understanding of the requirements and the need for consistent efforts toward</w:t>
            </w:r>
            <w:r w:rsidRPr="00D75A33">
              <w:rPr>
                <w:rFonts w:ascii="Arial" w:hAnsi="Arial" w:cs="Arial"/>
              </w:rPr>
              <w:t xml:space="preserve"> accessible learning materials. </w:t>
            </w:r>
          </w:p>
        </w:tc>
      </w:tr>
    </w:tbl>
    <w:p w14:paraId="07327894" w14:textId="77777777" w:rsidR="00D75A33" w:rsidRPr="00700879" w:rsidRDefault="00D75A33" w:rsidP="00D75A33">
      <w:pPr>
        <w:rPr>
          <w:rFonts w:ascii="Arial" w:hAnsi="Arial" w:cs="Arial"/>
        </w:rPr>
      </w:pPr>
    </w:p>
    <w:tbl>
      <w:tblPr>
        <w:tblW w:w="9540" w:type="dxa"/>
        <w:tblCellSpacing w:w="0" w:type="dxa"/>
        <w:tblCellMar>
          <w:left w:w="0" w:type="dxa"/>
          <w:right w:w="0" w:type="dxa"/>
        </w:tblCellMar>
        <w:tblLook w:val="04A0" w:firstRow="1" w:lastRow="0" w:firstColumn="1" w:lastColumn="0" w:noHBand="0" w:noVBand="1"/>
      </w:tblPr>
      <w:tblGrid>
        <w:gridCol w:w="9540"/>
      </w:tblGrid>
      <w:tr w:rsidR="00700879" w:rsidRPr="00700879" w14:paraId="4D6E1463" w14:textId="77777777" w:rsidTr="00700879">
        <w:trPr>
          <w:tblCellSpacing w:w="0" w:type="dxa"/>
        </w:trPr>
        <w:tc>
          <w:tcPr>
            <w:tcW w:w="0" w:type="auto"/>
            <w:hideMark/>
          </w:tcPr>
          <w:p w14:paraId="16261130" w14:textId="77777777" w:rsidR="00700879" w:rsidRPr="00700879" w:rsidRDefault="00700879" w:rsidP="00700879">
            <w:pPr>
              <w:pStyle w:val="Heading2"/>
              <w:rPr>
                <w:rFonts w:ascii="Arial" w:hAnsi="Arial" w:cs="Arial"/>
              </w:rPr>
            </w:pPr>
            <w:r w:rsidRPr="00700879">
              <w:rPr>
                <w:rFonts w:ascii="Arial" w:hAnsi="Arial" w:cs="Arial"/>
              </w:rPr>
              <w:t>Title II Compliance and Support</w:t>
            </w:r>
          </w:p>
        </w:tc>
      </w:tr>
      <w:tr w:rsidR="00700879" w:rsidRPr="00700879" w14:paraId="0B2405FF" w14:textId="77777777" w:rsidTr="00700879">
        <w:trPr>
          <w:tblCellSpacing w:w="0" w:type="dxa"/>
        </w:trPr>
        <w:tc>
          <w:tcPr>
            <w:tcW w:w="0" w:type="auto"/>
            <w:hideMark/>
          </w:tcPr>
          <w:p w14:paraId="1310EB6A" w14:textId="32CC45F9" w:rsidR="00700879" w:rsidRPr="00700879" w:rsidRDefault="00700879" w:rsidP="00700879">
            <w:pPr>
              <w:spacing w:line="276" w:lineRule="auto"/>
              <w:rPr>
                <w:rFonts w:ascii="Arial" w:hAnsi="Arial" w:cs="Arial"/>
              </w:rPr>
            </w:pPr>
            <w:r w:rsidRPr="00700879">
              <w:rPr>
                <w:rFonts w:ascii="Arial" w:hAnsi="Arial" w:cs="Arial"/>
              </w:rPr>
              <w:t>In the meeting, Mark led a discussion about the impact of Title II on Virginia Tech and the need for administrative support and resources to address compliance issues</w:t>
            </w:r>
            <w:r>
              <w:rPr>
                <w:rFonts w:ascii="Arial" w:hAnsi="Arial" w:cs="Arial"/>
              </w:rPr>
              <w:t xml:space="preserve"> at scale</w:t>
            </w:r>
            <w:r w:rsidRPr="00700879">
              <w:rPr>
                <w:rFonts w:ascii="Arial" w:hAnsi="Arial" w:cs="Arial"/>
              </w:rPr>
              <w:t xml:space="preserve">. Mollie suggested the formation of a sub-group to discuss K-12 efforts and collaboration across </w:t>
            </w:r>
            <w:r>
              <w:rPr>
                <w:rFonts w:ascii="Arial" w:hAnsi="Arial" w:cs="Arial"/>
              </w:rPr>
              <w:t xml:space="preserve">K-12 </w:t>
            </w:r>
            <w:r w:rsidRPr="00700879">
              <w:rPr>
                <w:rFonts w:ascii="Arial" w:hAnsi="Arial" w:cs="Arial"/>
              </w:rPr>
              <w:t>institutions. Korey proposed offering a space to bring in V</w:t>
            </w:r>
            <w:r>
              <w:rPr>
                <w:rFonts w:ascii="Arial" w:hAnsi="Arial" w:cs="Arial"/>
              </w:rPr>
              <w:t>HEAP</w:t>
            </w:r>
            <w:r w:rsidRPr="00700879">
              <w:rPr>
                <w:rFonts w:ascii="Arial" w:hAnsi="Arial" w:cs="Arial"/>
              </w:rPr>
              <w:t xml:space="preserve"> members to answer specific questions. The idea of a generic accessibility policy and presentations or training materials </w:t>
            </w:r>
            <w:r>
              <w:rPr>
                <w:rFonts w:ascii="Arial" w:hAnsi="Arial" w:cs="Arial"/>
              </w:rPr>
              <w:t xml:space="preserve">developed by VHEAP </w:t>
            </w:r>
            <w:r w:rsidRPr="00700879">
              <w:rPr>
                <w:rFonts w:ascii="Arial" w:hAnsi="Arial" w:cs="Arial"/>
              </w:rPr>
              <w:t>was also discussed. The conversation ended with Mark encouraging further questions and comments through the V</w:t>
            </w:r>
            <w:r>
              <w:rPr>
                <w:rFonts w:ascii="Arial" w:hAnsi="Arial" w:cs="Arial"/>
              </w:rPr>
              <w:t>HEA</w:t>
            </w:r>
            <w:r w:rsidRPr="00700879">
              <w:rPr>
                <w:rFonts w:ascii="Arial" w:hAnsi="Arial" w:cs="Arial"/>
              </w:rPr>
              <w:t>P listserv.</w:t>
            </w:r>
          </w:p>
        </w:tc>
      </w:tr>
    </w:tbl>
    <w:p w14:paraId="751B833D" w14:textId="77777777" w:rsidR="00700879" w:rsidRPr="00D75A33" w:rsidRDefault="00700879" w:rsidP="00D75A33"/>
    <w:sectPr w:rsidR="00700879" w:rsidRPr="00D75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33"/>
    <w:rsid w:val="0006303E"/>
    <w:rsid w:val="002F7F2E"/>
    <w:rsid w:val="003802EF"/>
    <w:rsid w:val="0047318A"/>
    <w:rsid w:val="00700879"/>
    <w:rsid w:val="007C603D"/>
    <w:rsid w:val="00937518"/>
    <w:rsid w:val="0097607F"/>
    <w:rsid w:val="009B670C"/>
    <w:rsid w:val="00A67FCC"/>
    <w:rsid w:val="00D75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88ABF7"/>
  <w15:chartTrackingRefBased/>
  <w15:docId w15:val="{175DCBC5-BBD4-3946-86C8-7E7D1599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5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A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A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A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A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5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A33"/>
    <w:rPr>
      <w:rFonts w:eastAsiaTheme="majorEastAsia" w:cstheme="majorBidi"/>
      <w:color w:val="272727" w:themeColor="text1" w:themeTint="D8"/>
    </w:rPr>
  </w:style>
  <w:style w:type="paragraph" w:styleId="Title">
    <w:name w:val="Title"/>
    <w:basedOn w:val="Normal"/>
    <w:next w:val="Normal"/>
    <w:link w:val="TitleChar"/>
    <w:uiPriority w:val="10"/>
    <w:qFormat/>
    <w:rsid w:val="00D75A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A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A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5A33"/>
    <w:rPr>
      <w:i/>
      <w:iCs/>
      <w:color w:val="404040" w:themeColor="text1" w:themeTint="BF"/>
    </w:rPr>
  </w:style>
  <w:style w:type="paragraph" w:styleId="ListParagraph">
    <w:name w:val="List Paragraph"/>
    <w:basedOn w:val="Normal"/>
    <w:uiPriority w:val="34"/>
    <w:qFormat/>
    <w:rsid w:val="00D75A33"/>
    <w:pPr>
      <w:ind w:left="720"/>
      <w:contextualSpacing/>
    </w:pPr>
  </w:style>
  <w:style w:type="character" w:styleId="IntenseEmphasis">
    <w:name w:val="Intense Emphasis"/>
    <w:basedOn w:val="DefaultParagraphFont"/>
    <w:uiPriority w:val="21"/>
    <w:qFormat/>
    <w:rsid w:val="00D75A33"/>
    <w:rPr>
      <w:i/>
      <w:iCs/>
      <w:color w:val="0F4761" w:themeColor="accent1" w:themeShade="BF"/>
    </w:rPr>
  </w:style>
  <w:style w:type="paragraph" w:styleId="IntenseQuote">
    <w:name w:val="Intense Quote"/>
    <w:basedOn w:val="Normal"/>
    <w:next w:val="Normal"/>
    <w:link w:val="IntenseQuoteChar"/>
    <w:uiPriority w:val="30"/>
    <w:qFormat/>
    <w:rsid w:val="00D75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A33"/>
    <w:rPr>
      <w:i/>
      <w:iCs/>
      <w:color w:val="0F4761" w:themeColor="accent1" w:themeShade="BF"/>
    </w:rPr>
  </w:style>
  <w:style w:type="character" w:styleId="IntenseReference">
    <w:name w:val="Intense Reference"/>
    <w:basedOn w:val="DefaultParagraphFont"/>
    <w:uiPriority w:val="32"/>
    <w:qFormat/>
    <w:rsid w:val="00D75A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079500">
      <w:bodyDiv w:val="1"/>
      <w:marLeft w:val="0"/>
      <w:marRight w:val="0"/>
      <w:marTop w:val="0"/>
      <w:marBottom w:val="0"/>
      <w:divBdr>
        <w:top w:val="none" w:sz="0" w:space="0" w:color="auto"/>
        <w:left w:val="none" w:sz="0" w:space="0" w:color="auto"/>
        <w:bottom w:val="none" w:sz="0" w:space="0" w:color="auto"/>
        <w:right w:val="none" w:sz="0" w:space="0" w:color="auto"/>
      </w:divBdr>
    </w:div>
    <w:div w:id="351535145">
      <w:bodyDiv w:val="1"/>
      <w:marLeft w:val="0"/>
      <w:marRight w:val="0"/>
      <w:marTop w:val="0"/>
      <w:marBottom w:val="0"/>
      <w:divBdr>
        <w:top w:val="none" w:sz="0" w:space="0" w:color="auto"/>
        <w:left w:val="none" w:sz="0" w:space="0" w:color="auto"/>
        <w:bottom w:val="none" w:sz="0" w:space="0" w:color="auto"/>
        <w:right w:val="none" w:sz="0" w:space="0" w:color="auto"/>
      </w:divBdr>
    </w:div>
    <w:div w:id="519508252">
      <w:bodyDiv w:val="1"/>
      <w:marLeft w:val="0"/>
      <w:marRight w:val="0"/>
      <w:marTop w:val="0"/>
      <w:marBottom w:val="0"/>
      <w:divBdr>
        <w:top w:val="none" w:sz="0" w:space="0" w:color="auto"/>
        <w:left w:val="none" w:sz="0" w:space="0" w:color="auto"/>
        <w:bottom w:val="none" w:sz="0" w:space="0" w:color="auto"/>
        <w:right w:val="none" w:sz="0" w:space="0" w:color="auto"/>
      </w:divBdr>
    </w:div>
    <w:div w:id="597756342">
      <w:bodyDiv w:val="1"/>
      <w:marLeft w:val="0"/>
      <w:marRight w:val="0"/>
      <w:marTop w:val="0"/>
      <w:marBottom w:val="0"/>
      <w:divBdr>
        <w:top w:val="none" w:sz="0" w:space="0" w:color="auto"/>
        <w:left w:val="none" w:sz="0" w:space="0" w:color="auto"/>
        <w:bottom w:val="none" w:sz="0" w:space="0" w:color="auto"/>
        <w:right w:val="none" w:sz="0" w:space="0" w:color="auto"/>
      </w:divBdr>
    </w:div>
    <w:div w:id="726610484">
      <w:bodyDiv w:val="1"/>
      <w:marLeft w:val="0"/>
      <w:marRight w:val="0"/>
      <w:marTop w:val="0"/>
      <w:marBottom w:val="0"/>
      <w:divBdr>
        <w:top w:val="none" w:sz="0" w:space="0" w:color="auto"/>
        <w:left w:val="none" w:sz="0" w:space="0" w:color="auto"/>
        <w:bottom w:val="none" w:sz="0" w:space="0" w:color="auto"/>
        <w:right w:val="none" w:sz="0" w:space="0" w:color="auto"/>
      </w:divBdr>
    </w:div>
    <w:div w:id="1075124823">
      <w:bodyDiv w:val="1"/>
      <w:marLeft w:val="0"/>
      <w:marRight w:val="0"/>
      <w:marTop w:val="0"/>
      <w:marBottom w:val="0"/>
      <w:divBdr>
        <w:top w:val="none" w:sz="0" w:space="0" w:color="auto"/>
        <w:left w:val="none" w:sz="0" w:space="0" w:color="auto"/>
        <w:bottom w:val="none" w:sz="0" w:space="0" w:color="auto"/>
        <w:right w:val="none" w:sz="0" w:space="0" w:color="auto"/>
      </w:divBdr>
    </w:div>
    <w:div w:id="1123572805">
      <w:bodyDiv w:val="1"/>
      <w:marLeft w:val="0"/>
      <w:marRight w:val="0"/>
      <w:marTop w:val="0"/>
      <w:marBottom w:val="0"/>
      <w:divBdr>
        <w:top w:val="none" w:sz="0" w:space="0" w:color="auto"/>
        <w:left w:val="none" w:sz="0" w:space="0" w:color="auto"/>
        <w:bottom w:val="none" w:sz="0" w:space="0" w:color="auto"/>
        <w:right w:val="none" w:sz="0" w:space="0" w:color="auto"/>
      </w:divBdr>
    </w:div>
    <w:div w:id="1196386085">
      <w:bodyDiv w:val="1"/>
      <w:marLeft w:val="0"/>
      <w:marRight w:val="0"/>
      <w:marTop w:val="0"/>
      <w:marBottom w:val="0"/>
      <w:divBdr>
        <w:top w:val="none" w:sz="0" w:space="0" w:color="auto"/>
        <w:left w:val="none" w:sz="0" w:space="0" w:color="auto"/>
        <w:bottom w:val="none" w:sz="0" w:space="0" w:color="auto"/>
        <w:right w:val="none" w:sz="0" w:space="0" w:color="auto"/>
      </w:divBdr>
    </w:div>
    <w:div w:id="1346710945">
      <w:bodyDiv w:val="1"/>
      <w:marLeft w:val="0"/>
      <w:marRight w:val="0"/>
      <w:marTop w:val="0"/>
      <w:marBottom w:val="0"/>
      <w:divBdr>
        <w:top w:val="none" w:sz="0" w:space="0" w:color="auto"/>
        <w:left w:val="none" w:sz="0" w:space="0" w:color="auto"/>
        <w:bottom w:val="none" w:sz="0" w:space="0" w:color="auto"/>
        <w:right w:val="none" w:sz="0" w:space="0" w:color="auto"/>
      </w:divBdr>
    </w:div>
    <w:div w:id="1500343386">
      <w:bodyDiv w:val="1"/>
      <w:marLeft w:val="0"/>
      <w:marRight w:val="0"/>
      <w:marTop w:val="0"/>
      <w:marBottom w:val="0"/>
      <w:divBdr>
        <w:top w:val="none" w:sz="0" w:space="0" w:color="auto"/>
        <w:left w:val="none" w:sz="0" w:space="0" w:color="auto"/>
        <w:bottom w:val="none" w:sz="0" w:space="0" w:color="auto"/>
        <w:right w:val="none" w:sz="0" w:space="0" w:color="auto"/>
      </w:divBdr>
    </w:div>
    <w:div w:id="1628856001">
      <w:bodyDiv w:val="1"/>
      <w:marLeft w:val="0"/>
      <w:marRight w:val="0"/>
      <w:marTop w:val="0"/>
      <w:marBottom w:val="0"/>
      <w:divBdr>
        <w:top w:val="none" w:sz="0" w:space="0" w:color="auto"/>
        <w:left w:val="none" w:sz="0" w:space="0" w:color="auto"/>
        <w:bottom w:val="none" w:sz="0" w:space="0" w:color="auto"/>
        <w:right w:val="none" w:sz="0" w:space="0" w:color="auto"/>
      </w:divBdr>
    </w:div>
    <w:div w:id="1845391993">
      <w:bodyDiv w:val="1"/>
      <w:marLeft w:val="0"/>
      <w:marRight w:val="0"/>
      <w:marTop w:val="0"/>
      <w:marBottom w:val="0"/>
      <w:divBdr>
        <w:top w:val="none" w:sz="0" w:space="0" w:color="auto"/>
        <w:left w:val="none" w:sz="0" w:space="0" w:color="auto"/>
        <w:bottom w:val="none" w:sz="0" w:space="0" w:color="auto"/>
        <w:right w:val="none" w:sz="0" w:space="0" w:color="auto"/>
      </w:divBdr>
    </w:div>
    <w:div w:id="1887988242">
      <w:bodyDiv w:val="1"/>
      <w:marLeft w:val="0"/>
      <w:marRight w:val="0"/>
      <w:marTop w:val="0"/>
      <w:marBottom w:val="0"/>
      <w:divBdr>
        <w:top w:val="none" w:sz="0" w:space="0" w:color="auto"/>
        <w:left w:val="none" w:sz="0" w:space="0" w:color="auto"/>
        <w:bottom w:val="none" w:sz="0" w:space="0" w:color="auto"/>
        <w:right w:val="none" w:sz="0" w:space="0" w:color="auto"/>
      </w:divBdr>
    </w:div>
    <w:div w:id="192390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Mark</dc:creator>
  <cp:keywords/>
  <dc:description/>
  <cp:lastModifiedBy>Nichols, Mark</cp:lastModifiedBy>
  <cp:revision>2</cp:revision>
  <dcterms:created xsi:type="dcterms:W3CDTF">2024-11-05T13:55:00Z</dcterms:created>
  <dcterms:modified xsi:type="dcterms:W3CDTF">2024-11-05T16:43:00Z</dcterms:modified>
</cp:coreProperties>
</file>